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970F06" w:rsidP="007F5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7F595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  <w:r w:rsidR="00032E1A"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970F06" w:rsidP="00970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2E1A"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970F06" w:rsidP="00032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Бурятия</w:t>
            </w:r>
          </w:p>
        </w:tc>
      </w:tr>
    </w:tbl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15875</wp:posOffset>
            </wp:positionV>
            <wp:extent cx="600075" cy="650875"/>
            <wp:effectExtent l="0" t="0" r="9525" b="0"/>
            <wp:wrapThrough wrapText="bothSides">
              <wp:wrapPolygon edited="0">
                <wp:start x="8914" y="0"/>
                <wp:lineTo x="0" y="2529"/>
                <wp:lineTo x="0" y="10747"/>
                <wp:lineTo x="4800" y="20230"/>
                <wp:lineTo x="6857" y="20862"/>
                <wp:lineTo x="7543" y="20862"/>
                <wp:lineTo x="13714" y="20862"/>
                <wp:lineTo x="15771" y="20230"/>
                <wp:lineTo x="21257" y="11380"/>
                <wp:lineTo x="21257" y="2529"/>
                <wp:lineTo x="12343" y="0"/>
                <wp:lineTo x="8914" y="0"/>
              </wp:wrapPolygon>
            </wp:wrapThrough>
            <wp:docPr id="5" name="Рисунок 5" descr="Федеральная Антимонопольная Служб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Default="002458BF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мероприятия </w:t>
      </w:r>
      <w:r w:rsidR="008C6E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публичн</w:t>
      </w:r>
      <w:r w:rsidR="008C6E65">
        <w:rPr>
          <w:rFonts w:ascii="Times New Roman" w:hAnsi="Times New Roman" w:cs="Times New Roman"/>
          <w:b/>
          <w:sz w:val="28"/>
          <w:szCs w:val="28"/>
        </w:rPr>
        <w:t>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8C6E65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при осуществлении надзорных мероприятий, проводимых Ф</w:t>
      </w:r>
      <w:r>
        <w:rPr>
          <w:rFonts w:ascii="Times New Roman" w:hAnsi="Times New Roman" w:cs="Times New Roman"/>
          <w:b/>
          <w:sz w:val="28"/>
          <w:szCs w:val="28"/>
        </w:rPr>
        <w:t>АС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8C6E65">
        <w:rPr>
          <w:rFonts w:ascii="Times New Roman" w:hAnsi="Times New Roman" w:cs="Times New Roman"/>
          <w:b/>
          <w:sz w:val="28"/>
          <w:szCs w:val="28"/>
        </w:rPr>
        <w:t>ее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354F82" w:rsidRPr="00354F82" w:rsidRDefault="00354F82" w:rsidP="00F268A9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F82">
        <w:rPr>
          <w:rFonts w:ascii="Times New Roman" w:hAnsi="Times New Roman" w:cs="Times New Roman"/>
          <w:sz w:val="28"/>
          <w:szCs w:val="28"/>
        </w:rPr>
        <w:t>Поставьте знак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0F4">
        <w:rPr>
          <w:rFonts w:ascii="Times New Roman" w:hAnsi="Times New Roman" w:cs="Times New Roman"/>
          <w:b/>
          <w:sz w:val="40"/>
          <w:szCs w:val="40"/>
        </w:rPr>
        <w:sym w:font="Wingdings 2" w:char="F050"/>
      </w:r>
      <w:r>
        <w:rPr>
          <w:rFonts w:ascii="Times New Roman" w:hAnsi="Times New Roman" w:cs="Times New Roman"/>
          <w:sz w:val="32"/>
          <w:szCs w:val="32"/>
        </w:rPr>
        <w:t>на выбранном Вами ответе.</w:t>
      </w:r>
    </w:p>
    <w:p w:rsidR="005E1AC8" w:rsidRPr="002A48F1" w:rsidRDefault="00354F82" w:rsidP="002A48F1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Насколько проведенное мероприятие соответствует Вашему ожиданию:</w:t>
      </w:r>
    </w:p>
    <w:p w:rsidR="005E1AC8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 xml:space="preserve">по тематической направленности 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программе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квалификации выступающих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организации мероприятия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2A48F1" w:rsidRPr="00DD164D" w:rsidRDefault="002A48F1" w:rsidP="002A48F1">
      <w:pPr>
        <w:pStyle w:val="a3"/>
        <w:numPr>
          <w:ilvl w:val="0"/>
          <w:numId w:val="1"/>
        </w:numPr>
        <w:tabs>
          <w:tab w:val="left" w:pos="284"/>
        </w:tabs>
        <w:spacing w:before="24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 xml:space="preserve">Ваше мнение о необходимости введения в практику проведения подобных мероприятий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да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нет</w:t>
      </w:r>
    </w:p>
    <w:p w:rsidR="00DD164D" w:rsidRDefault="00DD164D" w:rsidP="002A48F1">
      <w:pPr>
        <w:pStyle w:val="a3"/>
        <w:numPr>
          <w:ilvl w:val="0"/>
          <w:numId w:val="1"/>
        </w:numPr>
        <w:tabs>
          <w:tab w:val="left" w:pos="284"/>
        </w:tabs>
        <w:spacing w:before="24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64D">
        <w:rPr>
          <w:rFonts w:ascii="Times New Roman" w:hAnsi="Times New Roman" w:cs="Times New Roman"/>
          <w:sz w:val="28"/>
          <w:szCs w:val="28"/>
        </w:rPr>
        <w:t>Ваши замечания и предложения по организации и тематике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164D" w:rsidRDefault="00DD164D" w:rsidP="00DD164D">
      <w:pPr>
        <w:tabs>
          <w:tab w:val="left" w:pos="284"/>
        </w:tabs>
        <w:spacing w:before="24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D164D" w:rsidRDefault="00DD164D" w:rsidP="00DD164D">
      <w:pPr>
        <w:tabs>
          <w:tab w:val="left" w:pos="284"/>
        </w:tabs>
        <w:spacing w:before="24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164D" w:rsidRDefault="00DD164D" w:rsidP="00DD164D">
      <w:pPr>
        <w:tabs>
          <w:tab w:val="left" w:pos="284"/>
        </w:tabs>
        <w:spacing w:before="24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D164D" w:rsidRDefault="00DD164D" w:rsidP="00DD164D">
      <w:pPr>
        <w:tabs>
          <w:tab w:val="left" w:pos="284"/>
        </w:tabs>
        <w:spacing w:before="24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D164D" w:rsidRDefault="00DD164D" w:rsidP="00DD164D">
      <w:pPr>
        <w:tabs>
          <w:tab w:val="left" w:pos="284"/>
        </w:tabs>
        <w:spacing w:before="24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D164D" w:rsidRDefault="00DD164D" w:rsidP="00DD164D">
      <w:pPr>
        <w:tabs>
          <w:tab w:val="left" w:pos="284"/>
        </w:tabs>
        <w:spacing w:before="24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D164D" w:rsidRDefault="00DD164D" w:rsidP="00DD164D">
      <w:pPr>
        <w:tabs>
          <w:tab w:val="left" w:pos="284"/>
        </w:tabs>
        <w:spacing w:before="24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0A6C26" w:rsidRDefault="00DD164D" w:rsidP="00DD164D">
      <w:pPr>
        <w:tabs>
          <w:tab w:val="left" w:pos="284"/>
        </w:tabs>
        <w:spacing w:before="240"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bookmarkStart w:id="0" w:name="_GoBack"/>
      <w:bookmarkEnd w:id="0"/>
    </w:p>
    <w:p w:rsidR="00970F06" w:rsidRDefault="00970F06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421"/>
      </w:tblGrid>
      <w:tr w:rsidR="00561B00" w:rsidTr="00561B00">
        <w:tc>
          <w:tcPr>
            <w:tcW w:w="421" w:type="dxa"/>
          </w:tcPr>
          <w:p w:rsidR="00561B00" w:rsidRDefault="00561B00" w:rsidP="00561B0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61B00" w:rsidRPr="00561B00" w:rsidRDefault="00561B00" w:rsidP="00561B00">
      <w:pPr>
        <w:jc w:val="right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  <w:r w:rsidRPr="00561B00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 xml:space="preserve">Итого средний балл </w:t>
      </w:r>
    </w:p>
    <w:p w:rsidR="00561B00" w:rsidRPr="00561B00" w:rsidRDefault="00561B00" w:rsidP="00561B00">
      <w:pPr>
        <w:jc w:val="right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(з</w:t>
      </w:r>
      <w:r w:rsidRPr="00561B00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аполняется должностным лицом Бурятского УФАС России</w:t>
      </w:r>
      <w:r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)</w:t>
      </w:r>
    </w:p>
    <w:sectPr w:rsidR="00561B00" w:rsidRPr="0056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C78AD"/>
    <w:multiLevelType w:val="hybridMultilevel"/>
    <w:tmpl w:val="8BE6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C8"/>
    <w:rsid w:val="00032E1A"/>
    <w:rsid w:val="000A6C26"/>
    <w:rsid w:val="002458BF"/>
    <w:rsid w:val="002A48F1"/>
    <w:rsid w:val="00354F82"/>
    <w:rsid w:val="003D2037"/>
    <w:rsid w:val="00561B00"/>
    <w:rsid w:val="005E1AC8"/>
    <w:rsid w:val="00737970"/>
    <w:rsid w:val="007F5958"/>
    <w:rsid w:val="00883587"/>
    <w:rsid w:val="008C6E65"/>
    <w:rsid w:val="00970F06"/>
    <w:rsid w:val="009E3CEE"/>
    <w:rsid w:val="00AB7F98"/>
    <w:rsid w:val="00AF41AB"/>
    <w:rsid w:val="00C520F4"/>
    <w:rsid w:val="00DD164D"/>
    <w:rsid w:val="00F268A9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D10D-1360-49A2-A29D-4841EF3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Хаптаева Юлия Алексеевна</dc:creator>
  <cp:keywords/>
  <dc:description/>
  <cp:lastModifiedBy>Дуринова Елена Вячеславовна</cp:lastModifiedBy>
  <cp:revision>15</cp:revision>
  <cp:lastPrinted>2018-09-18T05:24:00Z</cp:lastPrinted>
  <dcterms:created xsi:type="dcterms:W3CDTF">2017-06-09T06:25:00Z</dcterms:created>
  <dcterms:modified xsi:type="dcterms:W3CDTF">2018-09-18T05:41:00Z</dcterms:modified>
</cp:coreProperties>
</file>